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4A0" w:rsidRPr="001024A0" w:rsidRDefault="001024A0" w:rsidP="0000753D">
      <w:pPr>
        <w:spacing w:after="0" w:line="480" w:lineRule="auto"/>
        <w:contextualSpacing/>
        <w:jc w:val="center"/>
        <w:rPr>
          <w:rFonts w:ascii="Times New Roman" w:hAnsi="Times New Roman" w:cs="Times New Roman"/>
          <w:sz w:val="24"/>
          <w:szCs w:val="24"/>
        </w:rPr>
      </w:pPr>
    </w:p>
    <w:p w:rsidR="001024A0" w:rsidRP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1024A0" w:rsidRDefault="001024A0" w:rsidP="0000753D">
      <w:pPr>
        <w:spacing w:after="0" w:line="480" w:lineRule="auto"/>
        <w:contextualSpacing/>
        <w:jc w:val="center"/>
        <w:rPr>
          <w:rFonts w:ascii="Times New Roman" w:hAnsi="Times New Roman" w:cs="Times New Roman"/>
          <w:sz w:val="24"/>
          <w:szCs w:val="24"/>
        </w:rPr>
      </w:pPr>
    </w:p>
    <w:p w:rsidR="006B07B1" w:rsidRPr="001024A0" w:rsidRDefault="006B07B1" w:rsidP="0000753D">
      <w:pPr>
        <w:spacing w:after="0" w:line="480" w:lineRule="auto"/>
        <w:contextualSpacing/>
        <w:jc w:val="center"/>
        <w:rPr>
          <w:rFonts w:ascii="Times New Roman" w:hAnsi="Times New Roman" w:cs="Times New Roman"/>
          <w:sz w:val="24"/>
          <w:szCs w:val="24"/>
        </w:rPr>
      </w:pPr>
      <w:r w:rsidRPr="001024A0">
        <w:rPr>
          <w:rFonts w:ascii="Times New Roman" w:hAnsi="Times New Roman" w:cs="Times New Roman"/>
          <w:sz w:val="24"/>
          <w:szCs w:val="24"/>
        </w:rPr>
        <w:t>Discussion</w:t>
      </w:r>
    </w:p>
    <w:p w:rsidR="006B07B1" w:rsidRPr="001024A0" w:rsidRDefault="006B07B1" w:rsidP="0000753D">
      <w:pPr>
        <w:spacing w:after="0" w:line="480" w:lineRule="auto"/>
        <w:contextualSpacing/>
        <w:jc w:val="center"/>
        <w:rPr>
          <w:rFonts w:ascii="Times New Roman" w:hAnsi="Times New Roman" w:cs="Times New Roman"/>
          <w:sz w:val="24"/>
          <w:szCs w:val="24"/>
        </w:rPr>
      </w:pPr>
      <w:r w:rsidRPr="001024A0">
        <w:rPr>
          <w:rFonts w:ascii="Times New Roman" w:hAnsi="Times New Roman" w:cs="Times New Roman"/>
          <w:sz w:val="24"/>
          <w:szCs w:val="24"/>
        </w:rPr>
        <w:t>Student’s Name</w:t>
      </w:r>
    </w:p>
    <w:p w:rsidR="006B07B1" w:rsidRPr="001024A0" w:rsidRDefault="006B07B1" w:rsidP="0000753D">
      <w:pPr>
        <w:spacing w:after="0" w:line="480" w:lineRule="auto"/>
        <w:contextualSpacing/>
        <w:jc w:val="center"/>
        <w:rPr>
          <w:rFonts w:ascii="Times New Roman" w:hAnsi="Times New Roman" w:cs="Times New Roman"/>
          <w:sz w:val="24"/>
          <w:szCs w:val="24"/>
        </w:rPr>
      </w:pPr>
      <w:r w:rsidRPr="001024A0">
        <w:rPr>
          <w:rFonts w:ascii="Times New Roman" w:hAnsi="Times New Roman" w:cs="Times New Roman"/>
          <w:sz w:val="24"/>
          <w:szCs w:val="24"/>
        </w:rPr>
        <w:t>Institution</w:t>
      </w:r>
    </w:p>
    <w:p w:rsidR="007471AF" w:rsidRPr="001024A0" w:rsidRDefault="007471AF"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br w:type="page"/>
      </w:r>
    </w:p>
    <w:p w:rsidR="006B07B1" w:rsidRPr="001024A0" w:rsidRDefault="006B07B1" w:rsidP="0000753D">
      <w:pPr>
        <w:spacing w:after="0" w:line="480" w:lineRule="auto"/>
        <w:contextualSpacing/>
        <w:jc w:val="center"/>
        <w:rPr>
          <w:rFonts w:ascii="Times New Roman" w:hAnsi="Times New Roman" w:cs="Times New Roman"/>
          <w:sz w:val="24"/>
          <w:szCs w:val="24"/>
        </w:rPr>
      </w:pPr>
      <w:r w:rsidRPr="001024A0">
        <w:rPr>
          <w:rFonts w:ascii="Times New Roman" w:hAnsi="Times New Roman" w:cs="Times New Roman"/>
          <w:sz w:val="24"/>
          <w:szCs w:val="24"/>
        </w:rPr>
        <w:lastRenderedPageBreak/>
        <w:t>Discussion</w:t>
      </w:r>
    </w:p>
    <w:p w:rsidR="001D54A2" w:rsidRPr="001024A0" w:rsidRDefault="001D54A2" w:rsidP="0000753D">
      <w:pPr>
        <w:spacing w:after="0" w:line="480" w:lineRule="auto"/>
        <w:contextualSpacing/>
        <w:jc w:val="center"/>
        <w:rPr>
          <w:rFonts w:ascii="Times New Roman" w:hAnsi="Times New Roman" w:cs="Times New Roman"/>
          <w:b/>
          <w:sz w:val="24"/>
          <w:szCs w:val="24"/>
        </w:rPr>
      </w:pPr>
      <w:r w:rsidRPr="001024A0">
        <w:rPr>
          <w:rFonts w:ascii="Times New Roman" w:hAnsi="Times New Roman" w:cs="Times New Roman"/>
          <w:b/>
          <w:sz w:val="24"/>
          <w:szCs w:val="24"/>
        </w:rPr>
        <w:t>Chapter 10</w:t>
      </w:r>
    </w:p>
    <w:p w:rsidR="007471AF" w:rsidRPr="001024A0" w:rsidRDefault="006B07B1"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tab/>
      </w:r>
      <w:r w:rsidR="007471AF" w:rsidRPr="001024A0">
        <w:rPr>
          <w:rFonts w:ascii="Times New Roman" w:hAnsi="Times New Roman" w:cs="Times New Roman"/>
          <w:sz w:val="24"/>
          <w:szCs w:val="24"/>
        </w:rPr>
        <w:t>Causal studies result in cause and effect relationships whose main distinctive feature is that the independent variable causes respective variation in the dependent variable. Additionally, the order of variables in causal studies is essential where the independent variable precedes the dependent variable at all times. An explanation is further required to explain the cause-effect relationship between the variables (Sekeran &amp; Bougie, 2016).  Contrary, the correlational studies does not determine which variable causes an effect on the other; however, these variables covary. The correlational studies are much focused on the size and direction of the variables while causal studies are founded on cause-and-effect relationships.</w:t>
      </w:r>
    </w:p>
    <w:p w:rsidR="007471AF" w:rsidRPr="001024A0" w:rsidRDefault="00100D40"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tab/>
      </w:r>
      <w:r w:rsidR="007471AF" w:rsidRPr="001024A0">
        <w:rPr>
          <w:rFonts w:ascii="Times New Roman" w:hAnsi="Times New Roman" w:cs="Times New Roman"/>
          <w:sz w:val="24"/>
          <w:szCs w:val="24"/>
        </w:rPr>
        <w:t xml:space="preserve">Internal validity is a fundamental concept of causal studies as it refers to the confidence level for the cause-and-effect relationship. Studies with research designs </w:t>
      </w:r>
      <w:r w:rsidR="0000753D">
        <w:rPr>
          <w:rFonts w:ascii="Times New Roman" w:hAnsi="Times New Roman" w:cs="Times New Roman"/>
          <w:sz w:val="24"/>
          <w:szCs w:val="24"/>
        </w:rPr>
        <w:t>with</w:t>
      </w:r>
      <w:r w:rsidR="007471AF" w:rsidRPr="001024A0">
        <w:rPr>
          <w:rFonts w:ascii="Times New Roman" w:hAnsi="Times New Roman" w:cs="Times New Roman"/>
          <w:sz w:val="24"/>
          <w:szCs w:val="24"/>
        </w:rPr>
        <w:t xml:space="preserve"> well-established cause-and-effect relationship</w:t>
      </w:r>
      <w:r w:rsidR="0000753D">
        <w:rPr>
          <w:rFonts w:ascii="Times New Roman" w:hAnsi="Times New Roman" w:cs="Times New Roman"/>
          <w:sz w:val="24"/>
          <w:szCs w:val="24"/>
        </w:rPr>
        <w:t>s</w:t>
      </w:r>
      <w:r w:rsidR="007471AF" w:rsidRPr="001024A0">
        <w:rPr>
          <w:rFonts w:ascii="Times New Roman" w:hAnsi="Times New Roman" w:cs="Times New Roman"/>
          <w:sz w:val="24"/>
          <w:szCs w:val="24"/>
        </w:rPr>
        <w:t xml:space="preserve"> have high internal validity. </w:t>
      </w:r>
      <w:r w:rsidR="0000753D" w:rsidRPr="001024A0">
        <w:rPr>
          <w:rFonts w:ascii="Times New Roman" w:hAnsi="Times New Roman" w:cs="Times New Roman"/>
          <w:sz w:val="24"/>
          <w:szCs w:val="24"/>
        </w:rPr>
        <w:t>Historical effects are</w:t>
      </w:r>
      <w:r w:rsidR="007471AF" w:rsidRPr="001024A0">
        <w:rPr>
          <w:rFonts w:ascii="Times New Roman" w:hAnsi="Times New Roman" w:cs="Times New Roman"/>
          <w:sz w:val="24"/>
          <w:szCs w:val="24"/>
        </w:rPr>
        <w:t xml:space="preserve"> a significant threat of internal validity as unexpected events may occur during the experiment; as a result, reducing the confidence placed on the study’s conclusion (Sekeran &amp; Bougie, 2016). Additionally, maturation effects occur with respect to time and affect the biological and psychological processes which in turn reduce the internal validity of the cause-and-effect inferences. Testing effects especially subjection to pretest amongst participants of a study affects the results of the study by compromising internal validity.</w:t>
      </w:r>
    </w:p>
    <w:p w:rsidR="007471AF" w:rsidRPr="001024A0" w:rsidRDefault="00100D40"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tab/>
      </w:r>
      <w:r w:rsidR="007471AF" w:rsidRPr="001024A0">
        <w:rPr>
          <w:rFonts w:ascii="Times New Roman" w:hAnsi="Times New Roman" w:cs="Times New Roman"/>
          <w:sz w:val="24"/>
          <w:szCs w:val="24"/>
        </w:rPr>
        <w:t xml:space="preserve">External validity refers to the extent to which the findings of a study can be generalized with respect to external factors. In this regard, a trade-off is paramount for either a lab or field experiment. Trade-offs entail compromising one validity for the other. For instance, if researchers want a high internal validity, they will have to deal with low external validity (Sekeran &amp; Bougie, 2016). As a result, researchers who want to realize both validities focus on testing causal relationships in a lab setting and later conduct the field experiments. In some cases external validity limits the scope of the research in field studies; as a result, the field </w:t>
      </w:r>
      <w:r w:rsidR="001D54A2" w:rsidRPr="001024A0">
        <w:rPr>
          <w:rFonts w:ascii="Times New Roman" w:hAnsi="Times New Roman" w:cs="Times New Roman"/>
          <w:sz w:val="24"/>
          <w:szCs w:val="24"/>
        </w:rPr>
        <w:t>experiments are either avoided.</w:t>
      </w:r>
    </w:p>
    <w:p w:rsidR="001D54A2" w:rsidRPr="001024A0" w:rsidRDefault="001D54A2" w:rsidP="0000753D">
      <w:pPr>
        <w:spacing w:after="0" w:line="480" w:lineRule="auto"/>
        <w:contextualSpacing/>
        <w:jc w:val="center"/>
        <w:rPr>
          <w:rFonts w:ascii="Times New Roman" w:hAnsi="Times New Roman" w:cs="Times New Roman"/>
          <w:b/>
          <w:sz w:val="24"/>
          <w:szCs w:val="24"/>
        </w:rPr>
      </w:pPr>
      <w:r w:rsidRPr="001024A0">
        <w:rPr>
          <w:rFonts w:ascii="Times New Roman" w:hAnsi="Times New Roman" w:cs="Times New Roman"/>
          <w:b/>
          <w:sz w:val="24"/>
          <w:szCs w:val="24"/>
        </w:rPr>
        <w:t>Chapter 11</w:t>
      </w:r>
    </w:p>
    <w:p w:rsidR="007471AF" w:rsidRPr="001024A0" w:rsidRDefault="00100D40"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tab/>
      </w:r>
      <w:r w:rsidR="007471AF" w:rsidRPr="001024A0">
        <w:rPr>
          <w:rFonts w:ascii="Times New Roman" w:hAnsi="Times New Roman" w:cs="Times New Roman"/>
          <w:sz w:val="24"/>
          <w:szCs w:val="24"/>
        </w:rPr>
        <w:t>Objects are people, companies, bicycles, elephants, and countries among others. These objects can only be measured based on their characteristics or attributes and according to specified guidelines (Sekeran &amp; Bougie, 2016). Attributes include achievement, motivation, service, quality, or taste among others. These characteristics are affiliated to the objects and provide a basis for the measurement. To exemplify the measurement of attributes takes into consideration the length or weight of a person or the quality of service in a restaurant. A judge is needed in the measurement of objects’ characteristics. The judges possess crucial knowledge and skills to perform an assessment of the objects’ attributes.</w:t>
      </w:r>
    </w:p>
    <w:p w:rsidR="00226040" w:rsidRPr="001024A0" w:rsidRDefault="007471AF" w:rsidP="0000753D">
      <w:pPr>
        <w:spacing w:after="0" w:line="480" w:lineRule="auto"/>
        <w:contextualSpacing/>
        <w:rPr>
          <w:rFonts w:ascii="Times New Roman" w:hAnsi="Times New Roman" w:cs="Times New Roman"/>
          <w:sz w:val="24"/>
          <w:szCs w:val="24"/>
        </w:rPr>
      </w:pPr>
      <w:r w:rsidRPr="001024A0">
        <w:rPr>
          <w:rFonts w:ascii="Times New Roman" w:hAnsi="Times New Roman" w:cs="Times New Roman"/>
          <w:sz w:val="24"/>
          <w:szCs w:val="24"/>
        </w:rPr>
        <w:tab/>
        <w:t>The operational definition is a technique used to breakdown abstract concepts into measurable items by reducing them to observable behaviors (Sekeran &amp; Bougie, 2016). An example of the workings of operationalization or operational definition is the case of measuring a thirsty individual. In this scenario, thirst cannot be measured; however, factors such as the number of glasses of water taken can help with the identification and measurement of a thirsty individual. The operational definition is a crucial technique required in the measurement of complex features such as feelings and attitudes. Operationalization is necessary since it effectively reduces the abstract notion; as a result, increasing the relevance of the object to be measured.</w:t>
      </w:r>
      <w:r w:rsidR="00226040" w:rsidRPr="001024A0">
        <w:rPr>
          <w:rFonts w:ascii="Times New Roman" w:hAnsi="Times New Roman" w:cs="Times New Roman"/>
          <w:sz w:val="24"/>
          <w:szCs w:val="24"/>
        </w:rPr>
        <w:br w:type="page"/>
      </w:r>
    </w:p>
    <w:p w:rsidR="007471AF" w:rsidRPr="001024A0" w:rsidRDefault="007471AF" w:rsidP="0000753D">
      <w:pPr>
        <w:spacing w:after="0" w:line="480" w:lineRule="auto"/>
        <w:contextualSpacing/>
        <w:jc w:val="center"/>
        <w:rPr>
          <w:rFonts w:ascii="Times New Roman" w:hAnsi="Times New Roman" w:cs="Times New Roman"/>
          <w:sz w:val="24"/>
          <w:szCs w:val="24"/>
        </w:rPr>
      </w:pPr>
      <w:r w:rsidRPr="001024A0">
        <w:rPr>
          <w:rFonts w:ascii="Times New Roman" w:hAnsi="Times New Roman" w:cs="Times New Roman"/>
          <w:sz w:val="24"/>
          <w:szCs w:val="24"/>
        </w:rPr>
        <w:t>Reference</w:t>
      </w:r>
    </w:p>
    <w:p w:rsidR="007471AF" w:rsidRPr="001024A0" w:rsidRDefault="007471AF" w:rsidP="0000753D">
      <w:pPr>
        <w:spacing w:after="0" w:line="480" w:lineRule="auto"/>
        <w:ind w:left="720" w:hanging="720"/>
        <w:contextualSpacing/>
        <w:rPr>
          <w:rFonts w:ascii="Times New Roman" w:hAnsi="Times New Roman" w:cs="Times New Roman"/>
          <w:sz w:val="24"/>
          <w:szCs w:val="24"/>
        </w:rPr>
      </w:pPr>
      <w:r w:rsidRPr="001024A0">
        <w:rPr>
          <w:rFonts w:ascii="Times New Roman" w:hAnsi="Times New Roman" w:cs="Times New Roman"/>
          <w:sz w:val="24"/>
          <w:szCs w:val="24"/>
        </w:rPr>
        <w:t xml:space="preserve">Sekeran, U., &amp; Bougie, R. (2016). </w:t>
      </w:r>
      <w:r w:rsidRPr="001024A0">
        <w:rPr>
          <w:rFonts w:ascii="Times New Roman" w:hAnsi="Times New Roman" w:cs="Times New Roman"/>
          <w:i/>
          <w:sz w:val="24"/>
          <w:szCs w:val="24"/>
        </w:rPr>
        <w:t>Research Methods for Business</w:t>
      </w:r>
      <w:r w:rsidRPr="001024A0">
        <w:rPr>
          <w:rFonts w:ascii="Times New Roman" w:hAnsi="Times New Roman" w:cs="Times New Roman"/>
          <w:sz w:val="24"/>
          <w:szCs w:val="24"/>
        </w:rPr>
        <w:t>. United Kingdom: John Wiley &amp; Sons</w:t>
      </w:r>
    </w:p>
    <w:p w:rsidR="005C54CE" w:rsidRPr="001024A0" w:rsidRDefault="005C54CE" w:rsidP="001024A0">
      <w:pPr>
        <w:spacing w:line="480" w:lineRule="auto"/>
        <w:rPr>
          <w:rFonts w:ascii="Times New Roman" w:hAnsi="Times New Roman" w:cs="Times New Roman"/>
          <w:sz w:val="24"/>
          <w:szCs w:val="24"/>
        </w:rPr>
      </w:pPr>
      <w:bookmarkStart w:id="0" w:name="_GoBack"/>
      <w:bookmarkEnd w:id="0"/>
    </w:p>
    <w:p w:rsidR="00A273B6" w:rsidRPr="001024A0" w:rsidRDefault="00A273B6" w:rsidP="001024A0">
      <w:pPr>
        <w:spacing w:line="480" w:lineRule="auto"/>
        <w:rPr>
          <w:rFonts w:ascii="Times New Roman" w:hAnsi="Times New Roman" w:cs="Times New Roman"/>
          <w:sz w:val="24"/>
          <w:szCs w:val="24"/>
        </w:rPr>
      </w:pPr>
    </w:p>
    <w:p w:rsidR="00447053" w:rsidRPr="001024A0" w:rsidRDefault="00340E68" w:rsidP="001024A0">
      <w:pPr>
        <w:spacing w:line="480" w:lineRule="auto"/>
        <w:rPr>
          <w:rFonts w:ascii="Times New Roman" w:hAnsi="Times New Roman" w:cs="Times New Roman"/>
          <w:sz w:val="24"/>
          <w:szCs w:val="24"/>
        </w:rPr>
      </w:pPr>
      <w:r w:rsidRPr="001024A0">
        <w:rPr>
          <w:rFonts w:ascii="Times New Roman" w:hAnsi="Times New Roman" w:cs="Times New Roman"/>
          <w:sz w:val="24"/>
          <w:szCs w:val="24"/>
        </w:rPr>
        <w:t xml:space="preserve"> </w:t>
      </w:r>
    </w:p>
    <w:sectPr w:rsidR="00447053" w:rsidRPr="001024A0" w:rsidSect="006B07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3A7" w:rsidRDefault="005703A7" w:rsidP="006B07B1">
      <w:pPr>
        <w:spacing w:after="0" w:line="240" w:lineRule="auto"/>
      </w:pPr>
      <w:r>
        <w:separator/>
      </w:r>
    </w:p>
  </w:endnote>
  <w:endnote w:type="continuationSeparator" w:id="0">
    <w:p w:rsidR="005703A7" w:rsidRDefault="005703A7" w:rsidP="006B0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3A7" w:rsidRDefault="005703A7" w:rsidP="006B07B1">
      <w:pPr>
        <w:spacing w:after="0" w:line="240" w:lineRule="auto"/>
      </w:pPr>
      <w:r>
        <w:separator/>
      </w:r>
    </w:p>
  </w:footnote>
  <w:footnote w:type="continuationSeparator" w:id="0">
    <w:p w:rsidR="005703A7" w:rsidRDefault="005703A7" w:rsidP="006B07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B1" w:rsidRPr="006B07B1" w:rsidRDefault="006B07B1" w:rsidP="006B07B1">
    <w:pPr>
      <w:pStyle w:val="Header"/>
      <w:jc w:val="right"/>
      <w:rPr>
        <w:rFonts w:ascii="Times New Roman" w:hAnsi="Times New Roman" w:cs="Times New Roman"/>
        <w:sz w:val="24"/>
        <w:szCs w:val="24"/>
      </w:rPr>
    </w:pPr>
    <w:r w:rsidRPr="006B07B1">
      <w:rPr>
        <w:rFonts w:ascii="Times New Roman" w:hAnsi="Times New Roman" w:cs="Times New Roman"/>
        <w:sz w:val="24"/>
        <w:szCs w:val="24"/>
      </w:rPr>
      <w:t>DISCUSSION</w:t>
    </w:r>
    <w:r w:rsidRPr="006B07B1">
      <w:rPr>
        <w:rFonts w:ascii="Times New Roman" w:hAnsi="Times New Roman" w:cs="Times New Roman"/>
        <w:sz w:val="24"/>
        <w:szCs w:val="24"/>
      </w:rPr>
      <w:tab/>
    </w:r>
    <w:r w:rsidRPr="006B07B1">
      <w:rPr>
        <w:rFonts w:ascii="Times New Roman" w:hAnsi="Times New Roman" w:cs="Times New Roman"/>
        <w:sz w:val="24"/>
        <w:szCs w:val="24"/>
      </w:rPr>
      <w:tab/>
    </w:r>
    <w:sdt>
      <w:sdtPr>
        <w:rPr>
          <w:rFonts w:ascii="Times New Roman" w:hAnsi="Times New Roman" w:cs="Times New Roman"/>
          <w:sz w:val="24"/>
          <w:szCs w:val="24"/>
        </w:rPr>
        <w:id w:val="-306396125"/>
        <w:docPartObj>
          <w:docPartGallery w:val="Page Numbers (Top of Page)"/>
          <w:docPartUnique/>
        </w:docPartObj>
      </w:sdtPr>
      <w:sdtEndPr>
        <w:rPr>
          <w:noProof/>
        </w:rPr>
      </w:sdtEndPr>
      <w:sdtContent>
        <w:r w:rsidRPr="006B07B1">
          <w:rPr>
            <w:rFonts w:ascii="Times New Roman" w:hAnsi="Times New Roman" w:cs="Times New Roman"/>
            <w:sz w:val="24"/>
            <w:szCs w:val="24"/>
          </w:rPr>
          <w:fldChar w:fldCharType="begin"/>
        </w:r>
        <w:r w:rsidRPr="006B07B1">
          <w:rPr>
            <w:rFonts w:ascii="Times New Roman" w:hAnsi="Times New Roman" w:cs="Times New Roman"/>
            <w:sz w:val="24"/>
            <w:szCs w:val="24"/>
          </w:rPr>
          <w:instrText xml:space="preserve"> PAGE   \* MERGEFORMAT </w:instrText>
        </w:r>
        <w:r w:rsidRPr="006B07B1">
          <w:rPr>
            <w:rFonts w:ascii="Times New Roman" w:hAnsi="Times New Roman" w:cs="Times New Roman"/>
            <w:sz w:val="24"/>
            <w:szCs w:val="24"/>
          </w:rPr>
          <w:fldChar w:fldCharType="separate"/>
        </w:r>
        <w:r w:rsidR="0000753D">
          <w:rPr>
            <w:rFonts w:ascii="Times New Roman" w:hAnsi="Times New Roman" w:cs="Times New Roman"/>
            <w:noProof/>
            <w:sz w:val="24"/>
            <w:szCs w:val="24"/>
          </w:rPr>
          <w:t>2</w:t>
        </w:r>
        <w:r w:rsidRPr="006B07B1">
          <w:rPr>
            <w:rFonts w:ascii="Times New Roman" w:hAnsi="Times New Roman" w:cs="Times New Roman"/>
            <w:noProof/>
            <w:sz w:val="24"/>
            <w:szCs w:val="24"/>
          </w:rPr>
          <w:fldChar w:fldCharType="end"/>
        </w:r>
      </w:sdtContent>
    </w:sdt>
  </w:p>
  <w:p w:rsidR="006B07B1" w:rsidRPr="006B07B1" w:rsidRDefault="006B07B1" w:rsidP="006B07B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7B1" w:rsidRPr="006B07B1" w:rsidRDefault="006B07B1" w:rsidP="006B07B1">
    <w:pPr>
      <w:pStyle w:val="Header"/>
      <w:jc w:val="right"/>
      <w:rPr>
        <w:rFonts w:ascii="Times New Roman" w:hAnsi="Times New Roman" w:cs="Times New Roman"/>
        <w:sz w:val="24"/>
        <w:szCs w:val="24"/>
      </w:rPr>
    </w:pPr>
    <w:r w:rsidRPr="006B07B1">
      <w:rPr>
        <w:rFonts w:ascii="Times New Roman" w:hAnsi="Times New Roman" w:cs="Times New Roman"/>
        <w:sz w:val="24"/>
        <w:szCs w:val="24"/>
      </w:rPr>
      <w:t>Running head: DISCUSSION</w:t>
    </w:r>
    <w:r w:rsidRPr="006B07B1">
      <w:rPr>
        <w:rFonts w:ascii="Times New Roman" w:hAnsi="Times New Roman" w:cs="Times New Roman"/>
        <w:sz w:val="24"/>
        <w:szCs w:val="24"/>
      </w:rPr>
      <w:tab/>
    </w:r>
    <w:r w:rsidRPr="006B07B1">
      <w:rPr>
        <w:rFonts w:ascii="Times New Roman" w:hAnsi="Times New Roman" w:cs="Times New Roman"/>
        <w:sz w:val="24"/>
        <w:szCs w:val="24"/>
      </w:rPr>
      <w:tab/>
    </w:r>
    <w:sdt>
      <w:sdtPr>
        <w:rPr>
          <w:rFonts w:ascii="Times New Roman" w:hAnsi="Times New Roman" w:cs="Times New Roman"/>
          <w:sz w:val="24"/>
          <w:szCs w:val="24"/>
        </w:rPr>
        <w:id w:val="-1401126513"/>
        <w:docPartObj>
          <w:docPartGallery w:val="Page Numbers (Top of Page)"/>
          <w:docPartUnique/>
        </w:docPartObj>
      </w:sdtPr>
      <w:sdtEndPr>
        <w:rPr>
          <w:noProof/>
        </w:rPr>
      </w:sdtEndPr>
      <w:sdtContent>
        <w:r w:rsidRPr="006B07B1">
          <w:rPr>
            <w:rFonts w:ascii="Times New Roman" w:hAnsi="Times New Roman" w:cs="Times New Roman"/>
            <w:sz w:val="24"/>
            <w:szCs w:val="24"/>
          </w:rPr>
          <w:fldChar w:fldCharType="begin"/>
        </w:r>
        <w:r w:rsidRPr="006B07B1">
          <w:rPr>
            <w:rFonts w:ascii="Times New Roman" w:hAnsi="Times New Roman" w:cs="Times New Roman"/>
            <w:sz w:val="24"/>
            <w:szCs w:val="24"/>
          </w:rPr>
          <w:instrText xml:space="preserve"> PAGE   \* MERGEFORMAT </w:instrText>
        </w:r>
        <w:r w:rsidRPr="006B07B1">
          <w:rPr>
            <w:rFonts w:ascii="Times New Roman" w:hAnsi="Times New Roman" w:cs="Times New Roman"/>
            <w:sz w:val="24"/>
            <w:szCs w:val="24"/>
          </w:rPr>
          <w:fldChar w:fldCharType="separate"/>
        </w:r>
        <w:r w:rsidR="005703A7">
          <w:rPr>
            <w:rFonts w:ascii="Times New Roman" w:hAnsi="Times New Roman" w:cs="Times New Roman"/>
            <w:noProof/>
            <w:sz w:val="24"/>
            <w:szCs w:val="24"/>
          </w:rPr>
          <w:t>1</w:t>
        </w:r>
        <w:r w:rsidRPr="006B07B1">
          <w:rPr>
            <w:rFonts w:ascii="Times New Roman" w:hAnsi="Times New Roman" w:cs="Times New Roman"/>
            <w:noProof/>
            <w:sz w:val="24"/>
            <w:szCs w:val="24"/>
          </w:rPr>
          <w:fldChar w:fldCharType="end"/>
        </w:r>
      </w:sdtContent>
    </w:sdt>
  </w:p>
  <w:p w:rsidR="006B07B1" w:rsidRDefault="006B0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2NLI0MDM3NLE0NrJU0lEKTi0uzszPAykwrAUAJ49xRSwAAAA="/>
  </w:docVars>
  <w:rsids>
    <w:rsidRoot w:val="00AB5437"/>
    <w:rsid w:val="0000753D"/>
    <w:rsid w:val="000B0746"/>
    <w:rsid w:val="00100D40"/>
    <w:rsid w:val="001024A0"/>
    <w:rsid w:val="001130EE"/>
    <w:rsid w:val="00170528"/>
    <w:rsid w:val="001D54A2"/>
    <w:rsid w:val="001F650D"/>
    <w:rsid w:val="00226040"/>
    <w:rsid w:val="003126A3"/>
    <w:rsid w:val="00340E68"/>
    <w:rsid w:val="0040689F"/>
    <w:rsid w:val="00430731"/>
    <w:rsid w:val="00447053"/>
    <w:rsid w:val="00455D88"/>
    <w:rsid w:val="004C0BBC"/>
    <w:rsid w:val="004F4680"/>
    <w:rsid w:val="00546651"/>
    <w:rsid w:val="005703A7"/>
    <w:rsid w:val="005C54CE"/>
    <w:rsid w:val="00617C21"/>
    <w:rsid w:val="006B07B1"/>
    <w:rsid w:val="006B5EF8"/>
    <w:rsid w:val="006F3074"/>
    <w:rsid w:val="00722574"/>
    <w:rsid w:val="007471AF"/>
    <w:rsid w:val="008908D9"/>
    <w:rsid w:val="00950AF3"/>
    <w:rsid w:val="009526FB"/>
    <w:rsid w:val="009C6BE1"/>
    <w:rsid w:val="009E5484"/>
    <w:rsid w:val="00A273B6"/>
    <w:rsid w:val="00A4187D"/>
    <w:rsid w:val="00A86996"/>
    <w:rsid w:val="00AB5437"/>
    <w:rsid w:val="00C7356C"/>
    <w:rsid w:val="00CE3BE2"/>
    <w:rsid w:val="00CE3E7B"/>
    <w:rsid w:val="00CF2837"/>
    <w:rsid w:val="00D410E4"/>
    <w:rsid w:val="00E42CAE"/>
    <w:rsid w:val="00F56121"/>
    <w:rsid w:val="00FC0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7B1"/>
  </w:style>
  <w:style w:type="paragraph" w:styleId="Footer">
    <w:name w:val="footer"/>
    <w:basedOn w:val="Normal"/>
    <w:link w:val="FooterChar"/>
    <w:uiPriority w:val="99"/>
    <w:unhideWhenUsed/>
    <w:rsid w:val="006B0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7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7B1"/>
  </w:style>
  <w:style w:type="paragraph" w:styleId="Footer">
    <w:name w:val="footer"/>
    <w:basedOn w:val="Normal"/>
    <w:link w:val="FooterChar"/>
    <w:uiPriority w:val="99"/>
    <w:unhideWhenUsed/>
    <w:rsid w:val="006B0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2019-04-10T18:06:00Z</dcterms:created>
  <dcterms:modified xsi:type="dcterms:W3CDTF">2019-04-10T18:06:00Z</dcterms:modified>
</cp:coreProperties>
</file>